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37501B" w14:textId="3B4130AF" w:rsidR="00852E1E" w:rsidRPr="004F358B" w:rsidRDefault="00852E1E" w:rsidP="00852E1E">
      <w:pPr>
        <w:jc w:val="both"/>
        <w:rPr>
          <w:rFonts w:cstheme="minorHAnsi"/>
          <w:lang w:val="en-US"/>
        </w:rPr>
      </w:pPr>
      <w:bookmarkStart w:id="0" w:name="_GoBack"/>
      <w:bookmarkEnd w:id="0"/>
      <w:r w:rsidRPr="00B67FA4">
        <w:rPr>
          <w:bCs/>
          <w:lang w:val="en-US"/>
        </w:rPr>
        <w:t>Figure S1:</w:t>
      </w:r>
      <w:r w:rsidRPr="00B67FA4">
        <w:rPr>
          <w:b/>
          <w:lang w:val="en-US"/>
        </w:rPr>
        <w:t xml:space="preserve"> </w:t>
      </w:r>
      <w:r w:rsidRPr="004F358B">
        <w:rPr>
          <w:bCs/>
          <w:lang w:val="en-US"/>
        </w:rPr>
        <w:t>CDC bioassay</w:t>
      </w:r>
      <w:r w:rsidRPr="004F358B">
        <w:rPr>
          <w:b/>
          <w:lang w:val="en-US"/>
        </w:rPr>
        <w:t xml:space="preserve"> </w:t>
      </w:r>
      <w:r w:rsidRPr="004F358B">
        <w:rPr>
          <w:bCs/>
          <w:lang w:val="en-GB"/>
        </w:rPr>
        <w:t>mortality percentages</w:t>
      </w:r>
      <w:r w:rsidRPr="004F358B">
        <w:rPr>
          <w:bCs/>
          <w:lang w:val="en-US"/>
        </w:rPr>
        <w:t xml:space="preserve"> corresponding </w:t>
      </w:r>
      <w:r w:rsidRPr="004F358B">
        <w:rPr>
          <w:bCs/>
          <w:lang w:val="en-GB"/>
        </w:rPr>
        <w:t xml:space="preserve">to </w:t>
      </w:r>
      <w:r w:rsidR="00E56E26" w:rsidRPr="00E56E26">
        <w:rPr>
          <w:bCs/>
          <w:lang w:val="en-US"/>
        </w:rPr>
        <w:t xml:space="preserve">exposure </w:t>
      </w:r>
      <w:r w:rsidRPr="004F358B">
        <w:rPr>
          <w:bCs/>
          <w:lang w:val="en-GB"/>
        </w:rPr>
        <w:t>time (minutes)</w:t>
      </w:r>
      <w:r w:rsidR="00E56E26" w:rsidRPr="00E56E26">
        <w:rPr>
          <w:bCs/>
          <w:lang w:val="en-US"/>
        </w:rPr>
        <w:t xml:space="preserve"> against</w:t>
      </w:r>
      <w:r w:rsidRPr="004F358B">
        <w:rPr>
          <w:bCs/>
          <w:lang w:val="en-GB"/>
        </w:rPr>
        <w:t xml:space="preserve"> </w:t>
      </w:r>
      <w:proofErr w:type="gramStart"/>
      <w:r w:rsidRPr="004F358B">
        <w:rPr>
          <w:bCs/>
          <w:lang w:val="en-GB"/>
        </w:rPr>
        <w:t>malathion</w:t>
      </w:r>
      <w:proofErr w:type="gramEnd"/>
      <w:r w:rsidRPr="004F358B">
        <w:rPr>
          <w:bCs/>
          <w:lang w:val="en-GB"/>
        </w:rPr>
        <w:t xml:space="preserve"> and </w:t>
      </w:r>
      <w:proofErr w:type="spellStart"/>
      <w:r w:rsidRPr="004F358B">
        <w:rPr>
          <w:bCs/>
          <w:lang w:val="en-GB"/>
        </w:rPr>
        <w:t>deltamethrin</w:t>
      </w:r>
      <w:proofErr w:type="spellEnd"/>
      <w:r w:rsidR="00E56E26" w:rsidRPr="00E56E26">
        <w:rPr>
          <w:bCs/>
          <w:lang w:val="en-US"/>
        </w:rPr>
        <w:t>,</w:t>
      </w:r>
      <w:r w:rsidRPr="004F358B">
        <w:rPr>
          <w:bCs/>
          <w:lang w:val="en-GB"/>
        </w:rPr>
        <w:t xml:space="preserve"> for </w:t>
      </w:r>
      <w:proofErr w:type="spellStart"/>
      <w:r w:rsidRPr="004F358B">
        <w:rPr>
          <w:bCs/>
          <w:i/>
          <w:iCs/>
          <w:lang w:val="en-GB"/>
        </w:rPr>
        <w:t>Aedes</w:t>
      </w:r>
      <w:proofErr w:type="spellEnd"/>
      <w:r w:rsidRPr="004F358B">
        <w:rPr>
          <w:bCs/>
          <w:i/>
          <w:iCs/>
          <w:lang w:val="en-GB"/>
        </w:rPr>
        <w:t xml:space="preserve"> </w:t>
      </w:r>
      <w:proofErr w:type="spellStart"/>
      <w:r w:rsidRPr="004F358B">
        <w:rPr>
          <w:bCs/>
          <w:i/>
          <w:iCs/>
          <w:lang w:val="en-GB"/>
        </w:rPr>
        <w:t>albopictus</w:t>
      </w:r>
      <w:proofErr w:type="spellEnd"/>
      <w:r w:rsidRPr="004F358B">
        <w:rPr>
          <w:bCs/>
          <w:lang w:val="en-GB"/>
        </w:rPr>
        <w:t xml:space="preserve"> populations from Greece</w:t>
      </w:r>
      <w:r>
        <w:rPr>
          <w:bCs/>
          <w:lang w:val="en-GB"/>
        </w:rPr>
        <w:t>.</w:t>
      </w:r>
    </w:p>
    <w:p w14:paraId="170901B7" w14:textId="77777777" w:rsidR="00852E1E" w:rsidRPr="001D266D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US"/>
        </w:rPr>
      </w:pPr>
    </w:p>
    <w:p w14:paraId="4F937E28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685B929B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564EA5" wp14:editId="4D13D746">
                <wp:simplePos x="0" y="0"/>
                <wp:positionH relativeFrom="column">
                  <wp:posOffset>518795</wp:posOffset>
                </wp:positionH>
                <wp:positionV relativeFrom="paragraph">
                  <wp:posOffset>867410</wp:posOffset>
                </wp:positionV>
                <wp:extent cx="4644000" cy="0"/>
                <wp:effectExtent l="0" t="0" r="0" b="0"/>
                <wp:wrapNone/>
                <wp:docPr id="8" name="Ευθεία γραμμή σύνδεσης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400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8E50934" id="Ευθεία γραμμή σύνδεσης 8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.85pt,68.3pt" to="406.5pt,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" strokecolor="black [3200]" strokeweight=".5pt">
                <v:stroke dashstyle="longDash" joinstyle="miter"/>
              </v:line>
            </w:pict>
          </mc:Fallback>
        </mc:AlternateContent>
      </w:r>
      <w:r>
        <w:rPr>
          <w:noProof/>
          <w:lang w:eastAsia="el-GR"/>
        </w:rPr>
        <w:drawing>
          <wp:inline distT="0" distB="0" distL="0" distR="0" wp14:anchorId="0D368647" wp14:editId="7FCA1034">
            <wp:extent cx="5274310" cy="3427095"/>
            <wp:effectExtent l="0" t="0" r="2540" b="1905"/>
            <wp:docPr id="4" name="Γράφημα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1984307-E4A3-45CD-8AD4-7830CD8D4C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C14287E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4C6217A1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val="en-GB"/>
        </w:rPr>
      </w:pPr>
    </w:p>
    <w:p w14:paraId="6A315B9E" w14:textId="77777777" w:rsidR="00852E1E" w:rsidRDefault="00852E1E" w:rsidP="00852E1E">
      <w:pPr>
        <w:autoSpaceDE w:val="0"/>
        <w:autoSpaceDN w:val="0"/>
        <w:adjustRightInd w:val="0"/>
        <w:spacing w:after="0" w:line="240" w:lineRule="auto"/>
        <w:rPr>
          <w:noProof/>
          <w:lang w:val="en-US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DCA6DC" wp14:editId="7CFA0515">
                <wp:simplePos x="0" y="0"/>
                <wp:positionH relativeFrom="column">
                  <wp:posOffset>497840</wp:posOffset>
                </wp:positionH>
                <wp:positionV relativeFrom="paragraph">
                  <wp:posOffset>934867</wp:posOffset>
                </wp:positionV>
                <wp:extent cx="4644000" cy="0"/>
                <wp:effectExtent l="0" t="0" r="0" b="0"/>
                <wp:wrapNone/>
                <wp:docPr id="6" name="Ευθεία γραμμή σύνδεσης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400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D7E846B" id="Ευθεία γραμμή σύνδεσης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2pt,73.6pt" to="404.85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" strokecolor="black [3200]" strokeweight=".5pt">
                <v:stroke dashstyle="longDash" joinstyle="miter"/>
              </v:line>
            </w:pict>
          </mc:Fallback>
        </mc:AlternateContent>
      </w:r>
      <w:r>
        <w:rPr>
          <w:noProof/>
          <w:lang w:eastAsia="el-GR"/>
        </w:rPr>
        <w:drawing>
          <wp:inline distT="0" distB="0" distL="0" distR="0" wp14:anchorId="1EA1FB8E" wp14:editId="473C330E">
            <wp:extent cx="5274310" cy="3485515"/>
            <wp:effectExtent l="0" t="0" r="2540" b="635"/>
            <wp:docPr id="5" name="Γράφημα 5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1F12227-D5C5-40FC-92FE-C01C454ACE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1D266D">
        <w:rPr>
          <w:noProof/>
          <w:lang w:val="en-US"/>
        </w:rPr>
        <w:t xml:space="preserve"> </w:t>
      </w:r>
    </w:p>
    <w:p w14:paraId="2CAE211C" w14:textId="34F801FB" w:rsidR="00852E1E" w:rsidRPr="00852E1E" w:rsidRDefault="00852E1E" w:rsidP="00852E1E">
      <w:pPr>
        <w:jc w:val="both"/>
        <w:rPr>
          <w:rFonts w:cstheme="minorHAnsi"/>
          <w:lang w:val="en-US"/>
        </w:rPr>
      </w:pPr>
      <w:r w:rsidRPr="004F358B">
        <w:rPr>
          <w:bCs/>
          <w:lang w:val="en-GB"/>
        </w:rPr>
        <w:t xml:space="preserve">Percentages presented </w:t>
      </w:r>
      <w:r w:rsidR="00E56E26" w:rsidRPr="00E56E26">
        <w:rPr>
          <w:bCs/>
          <w:lang w:val="en-US"/>
        </w:rPr>
        <w:t>are</w:t>
      </w:r>
      <w:r w:rsidRPr="004F358B">
        <w:rPr>
          <w:bCs/>
          <w:lang w:val="en-GB"/>
        </w:rPr>
        <w:t xml:space="preserve"> cumulative of </w:t>
      </w:r>
      <w:r w:rsidRPr="004F358B">
        <w:rPr>
          <w:rFonts w:cstheme="minorHAnsi"/>
          <w:lang w:val="en-US"/>
        </w:rPr>
        <w:t>4 insecticide treated replicate bottles. Black dotted line indicates the 98% cut-off for insecticide resistance (CDC guidelines</w:t>
      </w:r>
      <w:r w:rsidR="00E56E26" w:rsidRPr="00E56E26">
        <w:rPr>
          <w:rFonts w:cstheme="minorHAnsi"/>
          <w:lang w:val="en-US"/>
        </w:rPr>
        <w:t>;</w:t>
      </w:r>
      <w:r>
        <w:rPr>
          <w:rFonts w:cstheme="minorHAnsi"/>
          <w:lang w:val="en-US"/>
        </w:rPr>
        <w:t xml:space="preserve"> </w:t>
      </w:r>
      <w:r w:rsidR="00E56E26" w:rsidRPr="00E56E26">
        <w:rPr>
          <w:rFonts w:cstheme="minorHAnsi"/>
          <w:lang w:val="en-US"/>
        </w:rPr>
        <w:t>39</w:t>
      </w:r>
      <w:r w:rsidRPr="004F358B">
        <w:rPr>
          <w:rFonts w:cstheme="minorHAnsi"/>
          <w:lang w:val="en-US"/>
        </w:rPr>
        <w:t>).</w:t>
      </w:r>
    </w:p>
    <w:sectPr w:rsidR="00852E1E" w:rsidRPr="00852E1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1FB"/>
    <w:rsid w:val="002F2FE7"/>
    <w:rsid w:val="005F04F2"/>
    <w:rsid w:val="00852E1E"/>
    <w:rsid w:val="00B67FA4"/>
    <w:rsid w:val="00D731FB"/>
    <w:rsid w:val="00E5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032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6E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56E2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6E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56E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sop\Desktop\JV%20Lab\AUA\Bioassays%20adults%20CDC\graph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sop\Desktop\JV%20Lab\AUA\Bioassays%20adults%20CDC\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l-G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l-GR"/>
              <a:t>MALATHION </a:t>
            </a:r>
            <a:r>
              <a:rPr lang="en-GB"/>
              <a:t>(</a:t>
            </a:r>
            <a:r>
              <a:rPr lang="el-GR"/>
              <a:t>50 </a:t>
            </a:r>
            <a:r>
              <a:rPr lang="en-GB"/>
              <a:t>ppm)</a:t>
            </a:r>
            <a:r>
              <a:rPr lang="el-GR"/>
              <a:t> SUSCEPTIBILITY BIOASSAY</a:t>
            </a:r>
          </a:p>
        </c:rich>
      </c:tx>
      <c:layout>
        <c:manualLayout>
          <c:xMode val="edge"/>
          <c:yMode val="edge"/>
          <c:x val="0.25227053396558036"/>
          <c:y val="1.9635288779564032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0537345083520189"/>
          <c:y val="0.18369456485495164"/>
          <c:w val="0.86592897742086872"/>
          <c:h val="0.65198924575908501"/>
        </c:manualLayout>
      </c:layout>
      <c:lineChart>
        <c:grouping val="standard"/>
        <c:varyColors val="0"/>
        <c:ser>
          <c:idx val="0"/>
          <c:order val="0"/>
          <c:tx>
            <c:v>Patra</c:v>
          </c:tx>
          <c:spPr>
            <a:ln w="28575" cap="rnd">
              <a:solidFill>
                <a:schemeClr val="bg2">
                  <a:lumMod val="7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75000"/>
                </a:schemeClr>
              </a:solidFill>
              <a:ln w="9525">
                <a:solidFill>
                  <a:schemeClr val="bg2">
                    <a:lumMod val="75000"/>
                  </a:schemeClr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GRAPHS!$B$4:$B$14</c:f>
              <c:numCache>
                <c:formatCode>General</c:formatCode>
                <c:ptCount val="11"/>
                <c:pt idx="0">
                  <c:v>0</c:v>
                </c:pt>
                <c:pt idx="1">
                  <c:v>8.6</c:v>
                </c:pt>
                <c:pt idx="2">
                  <c:v>91.4</c:v>
                </c:pt>
                <c:pt idx="3">
                  <c:v>100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6F86-43AD-B25A-BD0C79F972F2}"/>
            </c:ext>
          </c:extLst>
        </c:ser>
        <c:ser>
          <c:idx val="1"/>
          <c:order val="1"/>
          <c:tx>
            <c:v>Heraklio</c:v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GRAPHS!$C$4:$C$14</c:f>
              <c:numCache>
                <c:formatCode>General</c:formatCode>
                <c:ptCount val="11"/>
                <c:pt idx="0">
                  <c:v>0</c:v>
                </c:pt>
                <c:pt idx="1">
                  <c:v>10.5</c:v>
                </c:pt>
                <c:pt idx="2">
                  <c:v>55.3</c:v>
                </c:pt>
                <c:pt idx="3">
                  <c:v>60.2</c:v>
                </c:pt>
                <c:pt idx="4">
                  <c:v>68.400000000000006</c:v>
                </c:pt>
                <c:pt idx="5">
                  <c:v>81.599999999999994</c:v>
                </c:pt>
                <c:pt idx="6">
                  <c:v>89.5</c:v>
                </c:pt>
                <c:pt idx="7">
                  <c:v>92.1</c:v>
                </c:pt>
                <c:pt idx="8">
                  <c:v>97.4</c:v>
                </c:pt>
                <c:pt idx="9">
                  <c:v>100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6F86-43AD-B25A-BD0C79F972F2}"/>
            </c:ext>
          </c:extLst>
        </c:ser>
        <c:ser>
          <c:idx val="2"/>
          <c:order val="2"/>
          <c:tx>
            <c:v>Athens</c:v>
          </c:tx>
          <c:spPr>
            <a:ln w="28575" cap="rnd">
              <a:solidFill>
                <a:srgbClr val="FFC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C000"/>
              </a:solidFill>
              <a:ln w="9525">
                <a:solidFill>
                  <a:srgbClr val="FFC000"/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GRAPHS!$D$4:$D$14</c:f>
              <c:numCache>
                <c:formatCode>General</c:formatCode>
                <c:ptCount val="11"/>
                <c:pt idx="0">
                  <c:v>0</c:v>
                </c:pt>
                <c:pt idx="1">
                  <c:v>8.6999999999999993</c:v>
                </c:pt>
                <c:pt idx="2">
                  <c:v>55.7</c:v>
                </c:pt>
                <c:pt idx="3">
                  <c:v>59.5</c:v>
                </c:pt>
                <c:pt idx="4">
                  <c:v>81</c:v>
                </c:pt>
                <c:pt idx="5">
                  <c:v>84.8</c:v>
                </c:pt>
                <c:pt idx="6">
                  <c:v>91.1</c:v>
                </c:pt>
                <c:pt idx="7">
                  <c:v>97.5</c:v>
                </c:pt>
                <c:pt idx="8">
                  <c:v>98.7</c:v>
                </c:pt>
                <c:pt idx="9">
                  <c:v>98.7</c:v>
                </c:pt>
                <c:pt idx="10">
                  <c:v>100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6F86-43AD-B25A-BD0C79F972F2}"/>
            </c:ext>
          </c:extLst>
        </c:ser>
        <c:ser>
          <c:idx val="3"/>
          <c:order val="3"/>
          <c:tx>
            <c:v>Kefalonia</c:v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GRAPHS!$E$4:$E$14</c:f>
              <c:numCache>
                <c:formatCode>General</c:formatCode>
                <c:ptCount val="11"/>
                <c:pt idx="0">
                  <c:v>0</c:v>
                </c:pt>
                <c:pt idx="1">
                  <c:v>19.3</c:v>
                </c:pt>
                <c:pt idx="2">
                  <c:v>56.6</c:v>
                </c:pt>
                <c:pt idx="3">
                  <c:v>65.099999999999994</c:v>
                </c:pt>
                <c:pt idx="4">
                  <c:v>69.900000000000006</c:v>
                </c:pt>
                <c:pt idx="5">
                  <c:v>79.5</c:v>
                </c:pt>
                <c:pt idx="6">
                  <c:v>94</c:v>
                </c:pt>
                <c:pt idx="7">
                  <c:v>100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6F86-43AD-B25A-BD0C79F972F2}"/>
            </c:ext>
          </c:extLst>
        </c:ser>
        <c:ser>
          <c:idx val="4"/>
          <c:order val="4"/>
          <c:tx>
            <c:v>Susceptible</c:v>
          </c:tx>
          <c:spPr>
            <a:ln w="28575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dPt>
            <c:idx val="1"/>
            <c:bubble3D val="0"/>
            <c:extLst xmlns:c16r2="http://schemas.microsoft.com/office/drawing/2015/06/chart">
              <c:ext xmlns:c16="http://schemas.microsoft.com/office/drawing/2014/chart" uri="{C3380CC4-5D6E-409C-BE32-E72D297353CC}">
                <c16:uniqueId val="{00000004-6F86-43AD-B25A-BD0C79F972F2}"/>
              </c:ext>
            </c:extLst>
          </c:dPt>
          <c:cat>
            <c:numRef>
              <c:f>GRAPHS!$A$4:$A$14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cat>
          <c:val>
            <c:numRef>
              <c:f>GRAPHS!$F$4:$F$14</c:f>
              <c:numCache>
                <c:formatCode>General</c:formatCode>
                <c:ptCount val="11"/>
                <c:pt idx="0">
                  <c:v>0</c:v>
                </c:pt>
                <c:pt idx="1">
                  <c:v>91.3</c:v>
                </c:pt>
                <c:pt idx="2">
                  <c:v>100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5-6F86-43AD-B25A-BD0C79F972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4845184"/>
        <c:axId val="325497216"/>
      </c:lineChart>
      <c:catAx>
        <c:axId val="2648451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(min)</a:t>
                </a:r>
                <a:endParaRPr lang="el-GR"/>
              </a:p>
            </c:rich>
          </c:tx>
          <c:layout>
            <c:manualLayout>
              <c:xMode val="edge"/>
              <c:yMode val="edge"/>
              <c:x val="0.45567207244789765"/>
              <c:y val="0.9259141498609773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325497216"/>
        <c:crossesAt val="0"/>
        <c:auto val="1"/>
        <c:lblAlgn val="ctr"/>
        <c:lblOffset val="100"/>
        <c:noMultiLvlLbl val="1"/>
      </c:catAx>
      <c:valAx>
        <c:axId val="325497216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% CUMULATIVE MORTALITY</a:t>
                </a:r>
                <a:endParaRPr lang="el-GR"/>
              </a:p>
            </c:rich>
          </c:tx>
          <c:layout>
            <c:manualLayout>
              <c:xMode val="edge"/>
              <c:yMode val="edge"/>
              <c:x val="2.4282560706401765E-2"/>
              <c:y val="0.3173808592365434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264845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910726390989209"/>
          <c:y val="0.10011631173645809"/>
          <c:w val="0.71928633876152537"/>
          <c:h val="5.73398508672654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l-GR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/>
      </a:pPr>
      <a:endParaRPr lang="el-G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l-G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DELTAMETHRIN (10 ppm) SUSCEPTIBILITY BIOASSAY</a:t>
            </a:r>
            <a:endParaRPr lang="el-GR"/>
          </a:p>
        </c:rich>
      </c:tx>
      <c:layout>
        <c:manualLayout>
          <c:xMode val="edge"/>
          <c:yMode val="edge"/>
          <c:x val="0.23101372501805922"/>
          <c:y val="2.186190562944069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0758095635396568"/>
          <c:y val="0.19721037085658025"/>
          <c:w val="0.85082963967252434"/>
          <c:h val="0.65747152872710735"/>
        </c:manualLayout>
      </c:layout>
      <c:scatterChart>
        <c:scatterStyle val="smoothMarker"/>
        <c:varyColors val="0"/>
        <c:ser>
          <c:idx val="0"/>
          <c:order val="0"/>
          <c:tx>
            <c:v>Patra</c:v>
          </c:tx>
          <c:spPr>
            <a:ln w="19050" cap="rnd">
              <a:solidFill>
                <a:schemeClr val="bg2">
                  <a:lumMod val="7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75000"/>
                </a:schemeClr>
              </a:solidFill>
              <a:ln w="9525">
                <a:solidFill>
                  <a:schemeClr val="bg2">
                    <a:lumMod val="75000"/>
                  </a:schemeClr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[1]malathion!$B$4:$B$14</c:f>
              <c:numCache>
                <c:formatCode>General</c:formatCode>
                <c:ptCount val="11"/>
                <c:pt idx="0">
                  <c:v>0</c:v>
                </c:pt>
                <c:pt idx="1">
                  <c:v>98</c:v>
                </c:pt>
                <c:pt idx="2">
                  <c:v>100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0B30-4176-8370-FAA93BF35063}"/>
            </c:ext>
          </c:extLst>
        </c:ser>
        <c:ser>
          <c:idx val="1"/>
          <c:order val="1"/>
          <c:tx>
            <c:v>Heraklio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[1]malathion!$C$4:$C$14</c:f>
              <c:numCache>
                <c:formatCode>General</c:formatCode>
                <c:ptCount val="11"/>
                <c:pt idx="0">
                  <c:v>0</c:v>
                </c:pt>
                <c:pt idx="1">
                  <c:v>95.6</c:v>
                </c:pt>
                <c:pt idx="2">
                  <c:v>100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0B30-4176-8370-FAA93BF35063}"/>
            </c:ext>
          </c:extLst>
        </c:ser>
        <c:ser>
          <c:idx val="2"/>
          <c:order val="2"/>
          <c:tx>
            <c:v>Athens</c:v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C000"/>
              </a:solidFill>
              <a:ln w="9525">
                <a:solidFill>
                  <a:srgbClr val="FFC000"/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[1]malathion!$D$4:$D$14</c:f>
              <c:numCache>
                <c:formatCode>General</c:formatCode>
                <c:ptCount val="11"/>
                <c:pt idx="0">
                  <c:v>0</c:v>
                </c:pt>
                <c:pt idx="1">
                  <c:v>93.3</c:v>
                </c:pt>
                <c:pt idx="2">
                  <c:v>100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0B30-4176-8370-FAA93BF35063}"/>
            </c:ext>
          </c:extLst>
        </c:ser>
        <c:ser>
          <c:idx val="3"/>
          <c:order val="3"/>
          <c:tx>
            <c:v>Kefalonia</c:v>
          </c:tx>
          <c:spPr>
            <a:ln w="1905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[1]malathion!$E$4:$E$14</c:f>
              <c:numCache>
                <c:formatCode>General</c:formatCode>
                <c:ptCount val="11"/>
                <c:pt idx="0">
                  <c:v>0</c:v>
                </c:pt>
                <c:pt idx="1">
                  <c:v>79.5</c:v>
                </c:pt>
                <c:pt idx="2">
                  <c:v>100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3-0B30-4176-8370-FAA93BF35063}"/>
            </c:ext>
          </c:extLst>
        </c:ser>
        <c:ser>
          <c:idx val="4"/>
          <c:order val="4"/>
          <c:tx>
            <c:v>Susceptible</c:v>
          </c:tx>
          <c:spPr>
            <a:ln w="19050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60000"/>
                </a:schemeClr>
              </a:solidFill>
              <a:ln w="9525">
                <a:solidFill>
                  <a:schemeClr val="accent5">
                    <a:lumMod val="60000"/>
                  </a:schemeClr>
                </a:solidFill>
              </a:ln>
              <a:effectLst/>
            </c:spPr>
          </c:marker>
          <c:xVal>
            <c:numRef>
              <c:f>[1]malathion!$A$4:$A$14</c:f>
              <c:numCache>
                <c:formatCode>General</c:formatCode>
                <c:ptCount val="11"/>
                <c:pt idx="0">
                  <c:v>0</c:v>
                </c:pt>
                <c:pt idx="1">
                  <c:v>15</c:v>
                </c:pt>
                <c:pt idx="2">
                  <c:v>30</c:v>
                </c:pt>
                <c:pt idx="3">
                  <c:v>35</c:v>
                </c:pt>
                <c:pt idx="4">
                  <c:v>40</c:v>
                </c:pt>
                <c:pt idx="5">
                  <c:v>45</c:v>
                </c:pt>
                <c:pt idx="6">
                  <c:v>60</c:v>
                </c:pt>
                <c:pt idx="7">
                  <c:v>75</c:v>
                </c:pt>
                <c:pt idx="8">
                  <c:v>90</c:v>
                </c:pt>
                <c:pt idx="9">
                  <c:v>105</c:v>
                </c:pt>
                <c:pt idx="10">
                  <c:v>120</c:v>
                </c:pt>
              </c:numCache>
            </c:numRef>
          </c:xVal>
          <c:yVal>
            <c:numRef>
              <c:f>[1]malathion!$F$4:$F$14</c:f>
              <c:numCache>
                <c:formatCode>General</c:formatCode>
                <c:ptCount val="11"/>
                <c:pt idx="0">
                  <c:v>0</c:v>
                </c:pt>
                <c:pt idx="1">
                  <c:v>78.3</c:v>
                </c:pt>
                <c:pt idx="2">
                  <c:v>100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4-0B30-4176-8370-FAA93BF350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2469760"/>
        <c:axId val="202472064"/>
      </c:scatterChart>
      <c:valAx>
        <c:axId val="202469760"/>
        <c:scaling>
          <c:orientation val="minMax"/>
          <c:max val="12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(min)</a:t>
                </a:r>
                <a:endParaRPr lang="el-GR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202472064"/>
        <c:crosses val="autoZero"/>
        <c:crossBetween val="midCat"/>
        <c:majorUnit val="15"/>
      </c:valAx>
      <c:valAx>
        <c:axId val="202472064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% CUMULATIVE MORTALITY</a:t>
                </a:r>
                <a:endParaRPr lang="el-GR"/>
              </a:p>
            </c:rich>
          </c:tx>
          <c:layout>
            <c:manualLayout>
              <c:xMode val="edge"/>
              <c:yMode val="edge"/>
              <c:x val="2.2075055187637971E-2"/>
              <c:y val="0.2928314671201052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l-GR"/>
          </a:p>
        </c:txPr>
        <c:crossAx val="20246976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689975839112828"/>
          <c:y val="9.7882776139690805E-2"/>
          <c:w val="0.71918044184874252"/>
          <c:h val="5.63694056427796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l-GR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/>
      </a:pPr>
      <a:endParaRPr lang="el-G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Sophia Bls</dc:creator>
  <cp:lastModifiedBy>Max</cp:lastModifiedBy>
  <cp:revision>2</cp:revision>
  <dcterms:created xsi:type="dcterms:W3CDTF">2020-04-02T09:19:00Z</dcterms:created>
  <dcterms:modified xsi:type="dcterms:W3CDTF">2020-04-02T09:19:00Z</dcterms:modified>
</cp:coreProperties>
</file>